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8731825da6450c" /></Relationships>
</file>

<file path=word/document.xml><?xml version="1.0" encoding="utf-8"?>
<w:document xmlns:w="http://schemas.openxmlformats.org/wordprocessingml/2006/main">
  <w:body/>
  <w:body>
    <w:p>
      <w:r>
        <w:rPr>
          <w:sz w:val="32"/>
          <w:b/>
        </w:rPr>
        <w:t>OMRON Mendonasikan Sekitar 3.200 Unit Alat Pemantau Tekanan Darah untuk Kampanye Pemeriksaan Tekanan Darah Global pada Hari Hipertensi Sedunia</w:t>
      </w:r>
    </w:p>
    <w:p>
      <w:r>
        <w:rPr>
          <w:sz w:val="28"/>
        </w:rPr>
        <w:t>Sumber: OMRON Healthcare Co., Ltd.</w:t>
      </w:r>
    </w:p>
    <w:p>
      <w:r>
        <w:rPr>
          <w:sz w:val="26"/>
        </w:rPr>
        <w:t>KYOTO, Japan, Apr. 26, 2024 /Kyodo JBN/ --</w:t>
      </w:r>
    </w:p>
    <w:p>
      <w:pPr>
        <w:spacing w:before="0" w:after="160"/>
        <w:ind w:left="0" w:right="0"/>
        <w:jc w:val="both"/>
      </w:pPr>
      <w:r>
        <w:rPr>
          <w:rFonts w:ascii="Calibri" w:hAnsi="Calibri"/>
          <w:sz w:val="22"/>
        </w:rPr>
        <w:t xml:space="preserve">Kyoto, Jepang (ANTARA/Kyodo JBN)- OMRON Healthcare Co., Ltd. yang berbasis di Muko, Prefektur Kyoto, Jepang, mengumumkan menjadi sponsor resmi May Measurement Month (MMM), sebuah kampanye global untuk meningkatkan kesadaran tentang pemeriksaan tekanan darah dan mempromosikan pencegahan, deteksi, dan pengendalian hipertensi. MMM didirikan oleh International Society of Hypertension pada tahun 2017, dan sejak itu Perusahaan telah berpartisipasi dalam kampanye global ini. Sejumlah total sekitar 26.000 alat pemantau tekanan darah telah didonasikan ke 100 negara dan wilayah, mendukung lebih dari 6 juta orang secara total mengukur tekanan darah mereka sejauh ini. Tanggal 17 Mei ditetapkan sebagai Hari Hipertensi Sedunia, dan ada beragam acara yang diselenggarakan oleh masyarakat dan komite regional di seluruh dunia. Melalui inisiatif ini, Perusahaan mendukung pengukuran tekanan darah pada pasien hipertensi dan deteksi dini fibrilasi atrium, yang dianggap sebagai aritmia yang mengancam jiwa.</w:t>
      </w:r>
    </w:p>
    <w:p>
      <w:pPr>
        <w:spacing w:before="0" w:after="160"/>
        <w:ind w:left="0" w:right="0"/>
        <w:jc w:val="both"/>
      </w:pPr>
      <w:r>
        <w:rPr>
          <w:rFonts w:ascii="Calibri" w:hAnsi="Calibri"/>
          <w:sz w:val="22"/>
        </w:rPr>
        <w:t xml:space="preserve">Logo: </w:t>
      </w:r>
      <w:hyperlink xmlns:r="http://schemas.openxmlformats.org/officeDocument/2006/relationships" w:history="true" r:id="R3029469ca7c843dd">
        <w:r>
          <w:rPr>
            <w:rStyle w:val="Hyperlink"/>
            <w:rFonts w:ascii="Calibri" w:hAnsi="Calibri"/>
            <w:sz w:val="22"/>
          </w:rPr>
          <w:t xml:space="preserve">https://kyodonewsprwire.jp/img/202404229813-O1-KVQG0oC5</w:t>
        </w:r>
      </w:hyperlink>
    </w:p>
    <w:p>
      <w:pPr>
        <w:spacing w:before="0" w:after="160"/>
        <w:ind w:left="0" w:right="0"/>
        <w:jc w:val="both"/>
      </w:pPr>
      <w:r>
        <w:rPr>
          <w:rFonts w:ascii="Calibri" w:hAnsi="Calibri"/>
          <w:sz w:val="22"/>
        </w:rPr>
        <w:t xml:space="preserve">Tekanan darah berfluktuasi sepanjang hari sebagai tanggapan terhadap berbagai faktor seperti suhu, kelembaban, dan faktor fisik termasuk stres. Oleh karena itu, penting untuk memantau tekanan darah di rumah selain pemeriksaan kesehatan rutin di fasilitas medis. Sebuah studi menemukan bahwa tekanan darah tinggi diperkirakan menyebabkan lebih dari 10 juta kematian di seluruh dunia setiap tahun. Penelitian lain di Jepang menunjukkan bahwa 40% pasien hipertensi tidak menyadari gejala mereka atau meninggalkannya tidak terobati meskipun mereka menyadari kondisi tersebut (*1). Jika hipertensi dibiarkan tidak terobati, itu dapat menyebabkan peningkatan risiko penyakit jantung/otak yang mengancam jiwa seperti stroke dan gagal jantung. Di sisi lain, deteksi dini dan pengelolaan yang tepat telah diketahui mencegah kemajuan penyakit-penyakit tersebut. Tujuan OMRON dalam berpartisipasi dalam kampanye ini adalah untuk meningkatkan kesadaran tentang pemantauan tekanan darah di rumah dan deteksi dini penyakit.</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Pada tahun 2024, kampanye MMM akan berlangsung dari 1 Mei hingga 31 Juli, memanfaatkan Hari Hipertensi Sedunia pada tanggal 17 Mei dan kampanye pemeriksaan global akan berlangsung untuk lebih dari 1 juta orang berusia di atas 18 tahun. Bagi mereka yang mengunjungi lokasi acara, serangkaian saran profesional, termasuk terapi gizi, perbaikan gaya hidup, dan pengelolaan tekanan darah, akan disediakan dan tes untuk mengukur tingkat risiko fibrilasi atrium tersedia jika mereka menginginkannya. Fibrilasi atrium adalah penyebab paling umum dari stroke emboli kardiogenik dan dapat menjadi sumber emboli otak kardiogenik. Penelitian menunjukkan bahwa pasien hipertensi memiliki insiden fibrilasi atrium tiga kali lebih tinggi dari pada orang normal (*2). Tahun ini, Perusahaan akan mendonasikan 3.200 set alat pemantau tekanan darah lengan atas (BPMs), termasuk model baru dengan ECG terintegrasi yang memungkinkan pengguna merekam ECG sambil memantau tekanan darah mereka dengan tujuan mendukung deteksi dini fibrilasi atrium pada pasien hipertensi.</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Perusahaan telah mendukung kampanye pengukuran tekanan darah di rumah di seluruh dunia untuk mencapai visinya menuju ZERO (nol penyakit serebrovaskular dan kardiovaskular). OMRON akan terus terlibat dalam kegiatan peningkatan kesadaran untuk pemantauan tekanan darah di rumah dan perekaman ECG untuk mendukung deteksi dini risiko penyakit kardiovaskular.</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Untuk informasi lebih lanjut, silakan kunjungi situs web berikut: </w:t>
      </w:r>
      <w:hyperlink xmlns:r="http://schemas.openxmlformats.org/officeDocument/2006/relationships" w:history="true" r:id="R5f81318674c24cbd">
        <w:r>
          <w:rPr>
            <w:rStyle w:val="Hyperlink"/>
            <w:rFonts w:ascii="Calibri" w:hAnsi="Calibri"/>
            <w:sz w:val="22"/>
          </w:rPr>
          <w:t xml:space="preserve">https://maymeasure.org/</w:t>
        </w:r>
      </w:hyperlink>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Catatan:</w:t>
      </w:r>
    </w:p>
    <w:p>
      <w:pPr>
        <w:spacing w:before="0" w:after="160"/>
        <w:ind w:left="0" w:right="0"/>
        <w:jc w:val="both"/>
      </w:pPr>
      <w:r>
        <w:rPr>
          <w:rFonts w:ascii="Calibri" w:hAnsi="Calibri"/>
          <w:sz w:val="22"/>
        </w:rPr>
        <w:t xml:space="preserve">(*1) Pedoman Masyarakat Hipertensi Jepang untuk Manajemen Hipertensi (JSH 2019)</w:t>
      </w:r>
    </w:p>
    <w:p>
      <w:pPr>
        <w:spacing w:before="0" w:after="160"/>
        <w:ind w:left="0" w:right="0"/>
        <w:jc w:val="both"/>
      </w:pPr>
      <w:r>
        <w:rPr>
          <w:rFonts w:ascii="Calibri" w:hAnsi="Calibri"/>
          <w:sz w:val="22"/>
        </w:rPr>
        <w:t xml:space="preserve">(*2) Senoo K,Yukawa A, Ohkura T, et al. Pemeriksaan untuk fibrilasi atrium yang tidak diobati pada populasi lanjut usia: Suatu studi berbasis masyarakat. Pizzi C, ed. PLoS ONE.2022;17(6):e0269506.</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OMRON Healthcare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229813-O1-KVQG0oC5" TargetMode="External" Id="R3029469ca7c843dd" /><Relationship Type="http://schemas.openxmlformats.org/officeDocument/2006/relationships/styles" Target="/word/styles.xml" Id="Rf86486ce18aa4f62" /><Relationship Type="http://schemas.openxmlformats.org/officeDocument/2006/relationships/hyperlink" Target="https://maymeasure.org/" TargetMode="External" Id="R5f81318674c24cbd" /></Relationships>
</file>